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961D16" w:rsidRPr="00BC1191" w:rsidTr="00961D16">
        <w:trPr>
          <w:trHeight w:val="479"/>
        </w:trPr>
        <w:tc>
          <w:tcPr>
            <w:tcW w:w="10206" w:type="dxa"/>
            <w:shd w:val="clear" w:color="auto" w:fill="auto"/>
            <w:vAlign w:val="center"/>
          </w:tcPr>
          <w:p w:rsidR="00961D16" w:rsidRDefault="00961D16" w:rsidP="00961D16">
            <w:pPr>
              <w:jc w:val="both"/>
              <w:rPr>
                <w:rFonts w:ascii="Arial" w:hAnsi="Arial" w:cs="Arial"/>
                <w:color w:val="000000"/>
              </w:rPr>
            </w:pPr>
            <w:r>
              <w:rPr>
                <w:rFonts w:ascii="Arial" w:hAnsi="Arial" w:cs="Arial"/>
                <w:color w:val="000000"/>
              </w:rPr>
              <w:t xml:space="preserve">Construcción de Cisternas en la Localidad de El </w:t>
            </w:r>
            <w:proofErr w:type="spellStart"/>
            <w:r>
              <w:rPr>
                <w:rFonts w:ascii="Arial" w:hAnsi="Arial" w:cs="Arial"/>
                <w:color w:val="000000"/>
              </w:rPr>
              <w:t>Cedral</w:t>
            </w:r>
            <w:proofErr w:type="spellEnd"/>
            <w:r>
              <w:rPr>
                <w:rFonts w:ascii="Arial" w:hAnsi="Arial" w:cs="Arial"/>
                <w:color w:val="000000"/>
              </w:rPr>
              <w:t xml:space="preserve"> del Municipio de Othón P. Blanco.</w:t>
            </w:r>
          </w:p>
        </w:tc>
      </w:tr>
      <w:tr w:rsidR="00961D16" w:rsidRPr="00BC1191" w:rsidTr="00E96D19">
        <w:trPr>
          <w:trHeight w:val="479"/>
        </w:trPr>
        <w:tc>
          <w:tcPr>
            <w:tcW w:w="10206" w:type="dxa"/>
            <w:shd w:val="clear" w:color="auto" w:fill="auto"/>
            <w:vAlign w:val="center"/>
          </w:tcPr>
          <w:p w:rsidR="00961D16" w:rsidRDefault="00961D16" w:rsidP="00961D16">
            <w:pPr>
              <w:jc w:val="both"/>
              <w:rPr>
                <w:rFonts w:ascii="Arial" w:hAnsi="Arial" w:cs="Arial"/>
                <w:color w:val="000000"/>
              </w:rPr>
            </w:pPr>
            <w:r>
              <w:rPr>
                <w:rFonts w:ascii="Arial" w:hAnsi="Arial" w:cs="Arial"/>
                <w:color w:val="000000"/>
              </w:rPr>
              <w:t xml:space="preserve">Construcción de Cisternas en la Localidad de </w:t>
            </w:r>
            <w:proofErr w:type="spellStart"/>
            <w:r>
              <w:rPr>
                <w:rFonts w:ascii="Arial" w:hAnsi="Arial" w:cs="Arial"/>
                <w:color w:val="000000"/>
              </w:rPr>
              <w:t>Morocoy</w:t>
            </w:r>
            <w:proofErr w:type="spellEnd"/>
            <w:r>
              <w:rPr>
                <w:rFonts w:ascii="Arial" w:hAnsi="Arial" w:cs="Arial"/>
                <w:color w:val="000000"/>
              </w:rPr>
              <w:t xml:space="preserve"> del Municipio de Othón P. Blanco.</w:t>
            </w:r>
          </w:p>
        </w:tc>
      </w:tr>
      <w:tr w:rsidR="00961D16" w:rsidRPr="00BC1191" w:rsidTr="00E96D19">
        <w:trPr>
          <w:trHeight w:val="479"/>
        </w:trPr>
        <w:tc>
          <w:tcPr>
            <w:tcW w:w="10206" w:type="dxa"/>
            <w:shd w:val="clear" w:color="auto" w:fill="auto"/>
            <w:vAlign w:val="center"/>
          </w:tcPr>
          <w:p w:rsidR="00961D16" w:rsidRDefault="00961D16" w:rsidP="00961D16">
            <w:pPr>
              <w:jc w:val="both"/>
              <w:rPr>
                <w:rFonts w:ascii="Arial" w:hAnsi="Arial" w:cs="Arial"/>
                <w:color w:val="000000"/>
              </w:rPr>
            </w:pPr>
            <w:r>
              <w:rPr>
                <w:rFonts w:ascii="Arial" w:hAnsi="Arial" w:cs="Arial"/>
                <w:color w:val="000000"/>
              </w:rPr>
              <w:t>Construcción de Cisternas en la Localidad de Veracruz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961D16">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AC492B">
              <w:rPr>
                <w:rFonts w:ascii="Arial" w:hAnsi="Arial" w:cs="Arial"/>
                <w:noProof/>
                <w:sz w:val="16"/>
                <w:szCs w:val="16"/>
                <w:lang w:val="es-ES_tradnl" w:eastAsia="es-ES"/>
              </w:rPr>
              <w:t>3</w:t>
            </w:r>
            <w:r w:rsidR="00961D16">
              <w:rPr>
                <w:rFonts w:ascii="Arial" w:hAnsi="Arial" w:cs="Arial"/>
                <w:noProof/>
                <w:sz w:val="16"/>
                <w:szCs w:val="16"/>
                <w:lang w:val="es-ES_tradnl" w:eastAsia="es-ES"/>
              </w:rPr>
              <w:t>6</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961D16" w:rsidP="00E96D19">
            <w:pPr>
              <w:spacing w:before="16" w:line="280" w:lineRule="exact"/>
              <w:jc w:val="center"/>
              <w:rPr>
                <w:rFonts w:ascii="Arial" w:hAnsi="Arial" w:cs="Arial"/>
                <w:sz w:val="14"/>
                <w:szCs w:val="14"/>
              </w:rPr>
            </w:pPr>
            <w:r>
              <w:rPr>
                <w:rFonts w:ascii="Arial" w:hAnsi="Arial" w:cs="Arial"/>
                <w:noProof/>
                <w:sz w:val="14"/>
                <w:szCs w:val="14"/>
              </w:rPr>
              <w:t>14:00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3F6596">
            <w:pPr>
              <w:spacing w:before="16" w:line="280" w:lineRule="exact"/>
              <w:jc w:val="center"/>
              <w:rPr>
                <w:rFonts w:ascii="Arial" w:hAnsi="Arial" w:cs="Arial"/>
                <w:sz w:val="14"/>
                <w:szCs w:val="14"/>
              </w:rPr>
            </w:pPr>
            <w:r>
              <w:rPr>
                <w:rFonts w:ascii="Arial" w:hAnsi="Arial" w:cs="Arial"/>
                <w:noProof/>
                <w:sz w:val="14"/>
                <w:szCs w:val="14"/>
              </w:rPr>
              <w:t>1</w:t>
            </w:r>
            <w:r w:rsidR="00961D16">
              <w:rPr>
                <w:rFonts w:ascii="Arial" w:hAnsi="Arial" w:cs="Arial"/>
                <w:noProof/>
                <w:sz w:val="14"/>
                <w:szCs w:val="14"/>
              </w:rPr>
              <w:t>6:30</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961D16" w:rsidP="00AC492B">
            <w:pPr>
              <w:spacing w:before="16" w:line="280" w:lineRule="exact"/>
              <w:jc w:val="center"/>
              <w:rPr>
                <w:rFonts w:ascii="Arial" w:hAnsi="Arial" w:cs="Arial"/>
                <w:sz w:val="14"/>
                <w:szCs w:val="14"/>
              </w:rPr>
            </w:pPr>
            <w:r>
              <w:rPr>
                <w:rFonts w:ascii="Arial" w:hAnsi="Arial" w:cs="Arial"/>
                <w:noProof/>
                <w:sz w:val="14"/>
                <w:szCs w:val="14"/>
              </w:rPr>
              <w:t>14:00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961D16" w:rsidP="00E96D19">
            <w:pPr>
              <w:spacing w:before="16" w:line="280" w:lineRule="exact"/>
              <w:jc w:val="center"/>
              <w:rPr>
                <w:rFonts w:ascii="Arial" w:hAnsi="Arial" w:cs="Arial"/>
                <w:sz w:val="14"/>
                <w:szCs w:val="14"/>
              </w:rPr>
            </w:pPr>
            <w:r>
              <w:rPr>
                <w:rFonts w:ascii="Arial" w:hAnsi="Arial" w:cs="Arial"/>
                <w:noProof/>
                <w:sz w:val="14"/>
                <w:szCs w:val="14"/>
              </w:rPr>
              <w:t>12:20</w:t>
            </w:r>
            <w:r w:rsidR="00D70E25">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961D16">
        <w:rPr>
          <w:rFonts w:ascii="Arial" w:eastAsia="Arial" w:hAnsi="Arial" w:cs="Arial"/>
          <w:b/>
          <w:noProof/>
          <w:spacing w:val="1"/>
          <w:szCs w:val="18"/>
        </w:rPr>
        <w:t>4:00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961D16">
        <w:rPr>
          <w:rFonts w:ascii="Arial" w:eastAsia="Arial" w:hAnsi="Arial" w:cs="Arial"/>
          <w:b/>
          <w:noProof/>
          <w:spacing w:val="1"/>
          <w:szCs w:val="18"/>
        </w:rPr>
        <w:t>6:30</w:t>
      </w:r>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961D16">
        <w:rPr>
          <w:rFonts w:ascii="Arial" w:eastAsia="Arial" w:hAnsi="Arial" w:cs="Arial"/>
          <w:b/>
          <w:noProof/>
          <w:spacing w:val="1"/>
          <w:szCs w:val="18"/>
        </w:rPr>
        <w:t>4:00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D70E25">
        <w:rPr>
          <w:rFonts w:ascii="Arial" w:eastAsia="Arial" w:hAnsi="Arial" w:cs="Arial"/>
          <w:b/>
          <w:noProof/>
          <w:szCs w:val="18"/>
        </w:rPr>
        <w:t>12:</w:t>
      </w:r>
      <w:r w:rsidR="00961D16">
        <w:rPr>
          <w:rFonts w:ascii="Arial" w:eastAsia="Arial" w:hAnsi="Arial" w:cs="Arial"/>
          <w:b/>
          <w:noProof/>
          <w:szCs w:val="18"/>
        </w:rPr>
        <w:t>2</w:t>
      </w:r>
      <w:bookmarkStart w:id="0" w:name="_GoBack"/>
      <w:bookmarkEnd w:id="0"/>
      <w:r w:rsidR="00D70E25">
        <w:rPr>
          <w:rFonts w:ascii="Arial" w:eastAsia="Arial" w:hAnsi="Arial" w:cs="Arial"/>
          <w:b/>
          <w:noProof/>
          <w:szCs w:val="18"/>
        </w:rPr>
        <w:t>0</w:t>
      </w:r>
      <w:r w:rsidR="003B75E2" w:rsidRPr="003B75E2">
        <w:rPr>
          <w:rFonts w:ascii="Arial" w:eastAsia="Arial" w:hAnsi="Arial" w:cs="Arial"/>
          <w:b/>
          <w:noProof/>
          <w:szCs w:val="18"/>
        </w:rPr>
        <w:t xml:space="preserve"> </w:t>
      </w:r>
      <w:r w:rsidR="00D70E25">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52" w:rsidRDefault="007B7A52">
      <w:r>
        <w:separator/>
      </w:r>
    </w:p>
  </w:endnote>
  <w:endnote w:type="continuationSeparator" w:id="0">
    <w:p w:rsidR="007B7A52" w:rsidRDefault="007B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961D16" w:rsidRPr="00961D16">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52" w:rsidRDefault="007B7A52">
      <w:r>
        <w:separator/>
      </w:r>
    </w:p>
  </w:footnote>
  <w:footnote w:type="continuationSeparator" w:id="0">
    <w:p w:rsidR="007B7A52" w:rsidRDefault="007B7A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961D16">
                            <w:rPr>
                              <w:rFonts w:ascii="Arial" w:eastAsia="Arial" w:hAnsi="Arial" w:cs="Arial"/>
                              <w:b/>
                              <w:noProof/>
                              <w:spacing w:val="1"/>
                              <w:w w:val="99"/>
                            </w:rPr>
                            <w:t>6</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961D16">
                      <w:rPr>
                        <w:rFonts w:ascii="Arial" w:eastAsia="Arial" w:hAnsi="Arial" w:cs="Arial"/>
                        <w:b/>
                        <w:noProof/>
                        <w:spacing w:val="1"/>
                        <w:w w:val="99"/>
                      </w:rPr>
                      <w:t>6</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739"/>
    <w:rsid w:val="00297F6E"/>
    <w:rsid w:val="002A4621"/>
    <w:rsid w:val="002B1FB8"/>
    <w:rsid w:val="002B27AA"/>
    <w:rsid w:val="002B2878"/>
    <w:rsid w:val="002B2F8C"/>
    <w:rsid w:val="002C03FA"/>
    <w:rsid w:val="002C05EE"/>
    <w:rsid w:val="002C3034"/>
    <w:rsid w:val="002C4913"/>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B7A5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61D16"/>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492B"/>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0E25"/>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76260"/>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7DA4-9DED-4998-B8AE-02FCD47D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18</Pages>
  <Words>9400</Words>
  <Characters>51702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68</cp:revision>
  <cp:lastPrinted>2022-03-14T20:42:00Z</cp:lastPrinted>
  <dcterms:created xsi:type="dcterms:W3CDTF">2022-10-28T14:40:00Z</dcterms:created>
  <dcterms:modified xsi:type="dcterms:W3CDTF">2025-10-30T09:09:00Z</dcterms:modified>
</cp:coreProperties>
</file>